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907" w:rsidRDefault="00416907" w:rsidP="00416907">
      <w:pPr>
        <w:spacing w:line="480" w:lineRule="auto"/>
        <w:jc w:val="center"/>
        <w:rPr>
          <w:rFonts w:ascii="Times New Roman" w:hAnsi="Times New Roman" w:cs="Times New Roman"/>
          <w:sz w:val="24"/>
          <w:szCs w:val="24"/>
        </w:rPr>
      </w:pPr>
    </w:p>
    <w:p w:rsidR="00B9641D" w:rsidRDefault="00B9641D" w:rsidP="00416907">
      <w:pPr>
        <w:spacing w:line="480" w:lineRule="auto"/>
        <w:jc w:val="center"/>
        <w:rPr>
          <w:rFonts w:ascii="Times New Roman" w:hAnsi="Times New Roman" w:cs="Times New Roman"/>
          <w:sz w:val="24"/>
          <w:szCs w:val="24"/>
        </w:rPr>
      </w:pPr>
    </w:p>
    <w:p w:rsidR="00B9641D" w:rsidRDefault="00B9641D" w:rsidP="00416907">
      <w:pPr>
        <w:spacing w:line="480" w:lineRule="auto"/>
        <w:jc w:val="center"/>
        <w:rPr>
          <w:rFonts w:ascii="Times New Roman" w:hAnsi="Times New Roman" w:cs="Times New Roman"/>
          <w:sz w:val="24"/>
          <w:szCs w:val="24"/>
        </w:rPr>
      </w:pPr>
    </w:p>
    <w:p w:rsidR="00416907" w:rsidRDefault="00416907" w:rsidP="00416907">
      <w:pPr>
        <w:spacing w:line="480" w:lineRule="auto"/>
        <w:jc w:val="center"/>
        <w:rPr>
          <w:rFonts w:ascii="Times New Roman" w:hAnsi="Times New Roman" w:cs="Times New Roman"/>
          <w:sz w:val="24"/>
          <w:szCs w:val="24"/>
        </w:rPr>
      </w:pPr>
    </w:p>
    <w:p w:rsidR="00416907" w:rsidRDefault="00416907" w:rsidP="00416907">
      <w:pPr>
        <w:spacing w:line="480" w:lineRule="auto"/>
        <w:jc w:val="center"/>
        <w:rPr>
          <w:rFonts w:ascii="Times New Roman" w:hAnsi="Times New Roman" w:cs="Times New Roman"/>
          <w:sz w:val="24"/>
          <w:szCs w:val="24"/>
        </w:rPr>
      </w:pPr>
    </w:p>
    <w:p w:rsidR="00416907" w:rsidRDefault="00416907" w:rsidP="00416907">
      <w:pPr>
        <w:spacing w:line="480" w:lineRule="auto"/>
        <w:jc w:val="center"/>
        <w:rPr>
          <w:rFonts w:ascii="Times New Roman" w:hAnsi="Times New Roman" w:cs="Times New Roman"/>
          <w:sz w:val="24"/>
          <w:szCs w:val="24"/>
        </w:rPr>
      </w:pPr>
    </w:p>
    <w:p w:rsidR="00416907" w:rsidRDefault="00416907" w:rsidP="00416907">
      <w:pPr>
        <w:spacing w:line="480" w:lineRule="auto"/>
        <w:jc w:val="center"/>
        <w:rPr>
          <w:rFonts w:ascii="Times New Roman" w:hAnsi="Times New Roman" w:cs="Times New Roman"/>
          <w:sz w:val="24"/>
          <w:szCs w:val="24"/>
        </w:rPr>
      </w:pPr>
    </w:p>
    <w:p w:rsidR="00A136B7" w:rsidRDefault="002F7D93" w:rsidP="00416907">
      <w:pPr>
        <w:spacing w:line="480" w:lineRule="auto"/>
        <w:jc w:val="center"/>
        <w:rPr>
          <w:rFonts w:ascii="Times New Roman" w:hAnsi="Times New Roman" w:cs="Times New Roman"/>
          <w:sz w:val="24"/>
          <w:szCs w:val="24"/>
        </w:rPr>
      </w:pPr>
      <w:r>
        <w:rPr>
          <w:rFonts w:ascii="Times New Roman" w:hAnsi="Times New Roman" w:cs="Times New Roman"/>
          <w:sz w:val="24"/>
          <w:szCs w:val="24"/>
        </w:rPr>
        <w:t>Legal Issues</w:t>
      </w:r>
      <w:r w:rsidR="00A6469D">
        <w:rPr>
          <w:rFonts w:ascii="Times New Roman" w:hAnsi="Times New Roman" w:cs="Times New Roman"/>
          <w:sz w:val="24"/>
          <w:szCs w:val="24"/>
        </w:rPr>
        <w:t xml:space="preserve"> Briefing Cases</w:t>
      </w:r>
    </w:p>
    <w:p w:rsidR="00416907" w:rsidRDefault="002F7D93" w:rsidP="004169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6907" w:rsidRDefault="002F7D93" w:rsidP="004169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16907" w:rsidRPr="00416907" w:rsidRDefault="00416907" w:rsidP="00416907">
      <w:pPr>
        <w:rPr>
          <w:rFonts w:ascii="Times New Roman" w:hAnsi="Times New Roman" w:cs="Times New Roman"/>
          <w:sz w:val="24"/>
          <w:szCs w:val="24"/>
        </w:rPr>
      </w:pPr>
    </w:p>
    <w:p w:rsidR="00416907" w:rsidRPr="00416907" w:rsidRDefault="00416907" w:rsidP="00416907">
      <w:pPr>
        <w:rPr>
          <w:rFonts w:ascii="Times New Roman" w:hAnsi="Times New Roman" w:cs="Times New Roman"/>
          <w:sz w:val="24"/>
          <w:szCs w:val="24"/>
        </w:rPr>
      </w:pPr>
    </w:p>
    <w:p w:rsidR="00416907" w:rsidRPr="00416907" w:rsidRDefault="00416907" w:rsidP="00416907">
      <w:pPr>
        <w:rPr>
          <w:rFonts w:ascii="Times New Roman" w:hAnsi="Times New Roman" w:cs="Times New Roman"/>
          <w:sz w:val="24"/>
          <w:szCs w:val="24"/>
        </w:rPr>
      </w:pPr>
    </w:p>
    <w:p w:rsidR="00416907" w:rsidRPr="00416907" w:rsidRDefault="00416907" w:rsidP="00416907">
      <w:pPr>
        <w:rPr>
          <w:rFonts w:ascii="Times New Roman" w:hAnsi="Times New Roman" w:cs="Times New Roman"/>
          <w:sz w:val="24"/>
          <w:szCs w:val="24"/>
        </w:rPr>
      </w:pPr>
    </w:p>
    <w:p w:rsidR="00416907" w:rsidRPr="00416907" w:rsidRDefault="00416907" w:rsidP="00416907">
      <w:pPr>
        <w:rPr>
          <w:rFonts w:ascii="Times New Roman" w:hAnsi="Times New Roman" w:cs="Times New Roman"/>
          <w:sz w:val="24"/>
          <w:szCs w:val="24"/>
        </w:rPr>
      </w:pPr>
    </w:p>
    <w:p w:rsidR="00416907" w:rsidRPr="00416907" w:rsidRDefault="00416907" w:rsidP="00416907">
      <w:pPr>
        <w:rPr>
          <w:rFonts w:ascii="Times New Roman" w:hAnsi="Times New Roman" w:cs="Times New Roman"/>
          <w:sz w:val="24"/>
          <w:szCs w:val="24"/>
        </w:rPr>
      </w:pPr>
    </w:p>
    <w:p w:rsidR="00416907" w:rsidRPr="00416907" w:rsidRDefault="00416907" w:rsidP="00416907">
      <w:pPr>
        <w:rPr>
          <w:rFonts w:ascii="Times New Roman" w:hAnsi="Times New Roman" w:cs="Times New Roman"/>
          <w:sz w:val="24"/>
          <w:szCs w:val="24"/>
        </w:rPr>
      </w:pPr>
    </w:p>
    <w:p w:rsidR="00416907" w:rsidRDefault="00416907" w:rsidP="00416907">
      <w:pPr>
        <w:rPr>
          <w:rFonts w:ascii="Times New Roman" w:hAnsi="Times New Roman" w:cs="Times New Roman"/>
          <w:sz w:val="24"/>
          <w:szCs w:val="24"/>
        </w:rPr>
      </w:pPr>
    </w:p>
    <w:p w:rsidR="00416907" w:rsidRDefault="00416907" w:rsidP="00416907">
      <w:pPr>
        <w:rPr>
          <w:rFonts w:ascii="Times New Roman" w:hAnsi="Times New Roman" w:cs="Times New Roman"/>
          <w:sz w:val="24"/>
          <w:szCs w:val="24"/>
        </w:rPr>
      </w:pPr>
    </w:p>
    <w:p w:rsidR="00416907" w:rsidRDefault="00416907" w:rsidP="00416907">
      <w:pPr>
        <w:rPr>
          <w:rFonts w:ascii="Times New Roman" w:hAnsi="Times New Roman" w:cs="Times New Roman"/>
          <w:sz w:val="24"/>
          <w:szCs w:val="24"/>
        </w:rPr>
      </w:pPr>
    </w:p>
    <w:p w:rsidR="00416907" w:rsidRDefault="002F7D93" w:rsidP="00E70FE1">
      <w:pPr>
        <w:spacing w:line="480" w:lineRule="auto"/>
        <w:jc w:val="center"/>
        <w:rPr>
          <w:rFonts w:ascii="Times New Roman" w:hAnsi="Times New Roman" w:cs="Times New Roman"/>
          <w:sz w:val="24"/>
          <w:szCs w:val="24"/>
        </w:rPr>
      </w:pPr>
      <w:r>
        <w:rPr>
          <w:rFonts w:ascii="Times New Roman" w:hAnsi="Times New Roman" w:cs="Times New Roman"/>
          <w:sz w:val="24"/>
          <w:szCs w:val="24"/>
        </w:rPr>
        <w:t>Legal Issues</w:t>
      </w:r>
      <w:bookmarkStart w:id="0" w:name="_GoBack"/>
      <w:bookmarkEnd w:id="0"/>
    </w:p>
    <w:p w:rsidR="002749D8"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Citation</w:t>
      </w:r>
    </w:p>
    <w:p w:rsidR="00686FE2" w:rsidRDefault="002F7D93" w:rsidP="001B7CA5">
      <w:pPr>
        <w:spacing w:line="480" w:lineRule="auto"/>
        <w:rPr>
          <w:rFonts w:ascii="Times New Roman" w:hAnsi="Times New Roman" w:cs="Times New Roman"/>
          <w:sz w:val="24"/>
          <w:szCs w:val="24"/>
        </w:rPr>
      </w:pPr>
      <w:r w:rsidRPr="00FE0AEE">
        <w:rPr>
          <w:rFonts w:ascii="Times New Roman" w:hAnsi="Times New Roman" w:cs="Times New Roman"/>
          <w:sz w:val="24"/>
          <w:szCs w:val="24"/>
          <w:u w:val="single"/>
        </w:rPr>
        <w:t>Hagen v. Kassler Escrow, Inc.</w:t>
      </w:r>
      <w:r w:rsidR="00FE0AEE">
        <w:rPr>
          <w:rFonts w:ascii="Times New Roman" w:hAnsi="Times New Roman" w:cs="Times New Roman"/>
          <w:sz w:val="24"/>
          <w:szCs w:val="24"/>
          <w:u w:val="single"/>
        </w:rPr>
        <w:t>,</w:t>
      </w:r>
      <w:r>
        <w:rPr>
          <w:rFonts w:ascii="Times New Roman" w:hAnsi="Times New Roman" w:cs="Times New Roman"/>
          <w:sz w:val="24"/>
          <w:szCs w:val="24"/>
        </w:rPr>
        <w:t xml:space="preserve"> 96Wn.2d 443 P.2d 730 (1981)</w:t>
      </w:r>
    </w:p>
    <w:p w:rsidR="00DF4C51"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Facts</w:t>
      </w:r>
    </w:p>
    <w:p w:rsidR="00207C4C"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 xml:space="preserve">Kassler Escrow Inc. </w:t>
      </w:r>
      <w:r w:rsidR="00826E0E">
        <w:rPr>
          <w:rFonts w:ascii="Times New Roman" w:hAnsi="Times New Roman" w:cs="Times New Roman"/>
          <w:sz w:val="24"/>
          <w:szCs w:val="24"/>
        </w:rPr>
        <w:t>(</w:t>
      </w:r>
      <w:r w:rsidR="0068469A">
        <w:rPr>
          <w:rFonts w:ascii="Times New Roman" w:hAnsi="Times New Roman" w:cs="Times New Roman"/>
          <w:sz w:val="24"/>
          <w:szCs w:val="24"/>
        </w:rPr>
        <w:t xml:space="preserve">a real estate company) </w:t>
      </w:r>
      <w:r>
        <w:rPr>
          <w:rFonts w:ascii="Times New Roman" w:hAnsi="Times New Roman" w:cs="Times New Roman"/>
          <w:sz w:val="24"/>
          <w:szCs w:val="24"/>
        </w:rPr>
        <w:t xml:space="preserve">carried out multiple real estate transactions that involved the preparation of documents and other operations; most of the deals involved sincere monetary contracts that were to be carried out </w:t>
      </w:r>
      <w:r w:rsidR="00BD25C8">
        <w:rPr>
          <w:rFonts w:ascii="Times New Roman" w:hAnsi="Times New Roman" w:cs="Times New Roman"/>
          <w:sz w:val="24"/>
          <w:szCs w:val="24"/>
        </w:rPr>
        <w:t>within a law firm. The law firm is accusing Escrow</w:t>
      </w:r>
      <w:r w:rsidR="008D2ED8">
        <w:rPr>
          <w:rFonts w:ascii="Times New Roman" w:hAnsi="Times New Roman" w:cs="Times New Roman"/>
          <w:sz w:val="24"/>
          <w:szCs w:val="24"/>
        </w:rPr>
        <w:t xml:space="preserve"> Inc. of </w:t>
      </w:r>
      <w:r w:rsidR="00BD25C8">
        <w:rPr>
          <w:rFonts w:ascii="Times New Roman" w:hAnsi="Times New Roman" w:cs="Times New Roman"/>
          <w:sz w:val="24"/>
          <w:szCs w:val="24"/>
        </w:rPr>
        <w:t>engaging in the pract</w:t>
      </w:r>
      <w:r w:rsidR="0068469A">
        <w:rPr>
          <w:rFonts w:ascii="Times New Roman" w:hAnsi="Times New Roman" w:cs="Times New Roman"/>
          <w:sz w:val="24"/>
          <w:szCs w:val="24"/>
        </w:rPr>
        <w:t xml:space="preserve">ice of law as a lay person which is </w:t>
      </w:r>
      <w:r>
        <w:rPr>
          <w:rFonts w:ascii="Times New Roman" w:hAnsi="Times New Roman" w:cs="Times New Roman"/>
          <w:sz w:val="24"/>
          <w:szCs w:val="24"/>
        </w:rPr>
        <w:t>unconstitutional</w:t>
      </w:r>
      <w:r w:rsidR="00BD25C8">
        <w:rPr>
          <w:rFonts w:ascii="Times New Roman" w:hAnsi="Times New Roman" w:cs="Times New Roman"/>
          <w:sz w:val="24"/>
          <w:szCs w:val="24"/>
        </w:rPr>
        <w:t xml:space="preserve">. </w:t>
      </w:r>
      <w:r w:rsidR="00FC57DF">
        <w:rPr>
          <w:rFonts w:ascii="Times New Roman" w:hAnsi="Times New Roman" w:cs="Times New Roman"/>
          <w:sz w:val="24"/>
          <w:szCs w:val="24"/>
        </w:rPr>
        <w:t xml:space="preserve">The company is alleged to have been involved in activities that </w:t>
      </w:r>
      <w:r w:rsidR="0068469A">
        <w:rPr>
          <w:rFonts w:ascii="Times New Roman" w:hAnsi="Times New Roman" w:cs="Times New Roman"/>
          <w:sz w:val="24"/>
          <w:szCs w:val="24"/>
        </w:rPr>
        <w:t xml:space="preserve">violated the practice of legislative power that separated powers doctrines. However, the company claimed that they adhered to the RWC 19.62 </w:t>
      </w:r>
      <w:r w:rsidR="0035670D">
        <w:rPr>
          <w:rFonts w:ascii="Times New Roman" w:hAnsi="Times New Roman" w:cs="Times New Roman"/>
          <w:sz w:val="24"/>
          <w:szCs w:val="24"/>
        </w:rPr>
        <w:t xml:space="preserve">statue </w:t>
      </w:r>
      <w:r w:rsidR="0068469A">
        <w:rPr>
          <w:rFonts w:ascii="Times New Roman" w:hAnsi="Times New Roman" w:cs="Times New Roman"/>
          <w:sz w:val="24"/>
          <w:szCs w:val="24"/>
        </w:rPr>
        <w:t>that authorized laypersons to identify, prepare, and fill documents related to legal rights.</w:t>
      </w:r>
      <w:r>
        <w:rPr>
          <w:rFonts w:ascii="Times New Roman" w:hAnsi="Times New Roman" w:cs="Times New Roman"/>
          <w:sz w:val="24"/>
          <w:szCs w:val="24"/>
        </w:rPr>
        <w:t xml:space="preserve"> The law firm thinks otherwise since the statue does not protect the interest of the public</w:t>
      </w:r>
      <w:r w:rsidR="00064968">
        <w:rPr>
          <w:rFonts w:ascii="Times New Roman" w:hAnsi="Times New Roman" w:cs="Times New Roman"/>
          <w:sz w:val="24"/>
          <w:szCs w:val="24"/>
        </w:rPr>
        <w:t xml:space="preserve"> and should be redefined</w:t>
      </w:r>
      <w:r w:rsidR="002378A3">
        <w:rPr>
          <w:rFonts w:ascii="Times New Roman" w:hAnsi="Times New Roman" w:cs="Times New Roman"/>
          <w:sz w:val="24"/>
          <w:szCs w:val="24"/>
        </w:rPr>
        <w:t xml:space="preserve"> to prevent lay persons from performing the practice of law</w:t>
      </w:r>
      <w:r>
        <w:rPr>
          <w:rFonts w:ascii="Times New Roman" w:hAnsi="Times New Roman" w:cs="Times New Roman"/>
          <w:sz w:val="24"/>
          <w:szCs w:val="24"/>
        </w:rPr>
        <w:t>.</w:t>
      </w:r>
    </w:p>
    <w:p w:rsidR="00646E5F"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Procedure</w:t>
      </w:r>
      <w:r w:rsidR="0068469A" w:rsidRPr="00D47685">
        <w:rPr>
          <w:rFonts w:ascii="Times New Roman" w:hAnsi="Times New Roman" w:cs="Times New Roman"/>
          <w:b/>
          <w:sz w:val="24"/>
          <w:szCs w:val="24"/>
          <w:u w:val="single"/>
        </w:rPr>
        <w:t xml:space="preserve">  </w:t>
      </w:r>
    </w:p>
    <w:p w:rsidR="00826E0E"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trial </w:t>
      </w:r>
      <w:r w:rsidR="003F57D0">
        <w:rPr>
          <w:rFonts w:ascii="Times New Roman" w:hAnsi="Times New Roman" w:cs="Times New Roman"/>
          <w:sz w:val="24"/>
          <w:szCs w:val="24"/>
        </w:rPr>
        <w:t xml:space="preserve">court declined </w:t>
      </w:r>
      <w:r>
        <w:rPr>
          <w:rFonts w:ascii="Times New Roman" w:hAnsi="Times New Roman" w:cs="Times New Roman"/>
          <w:sz w:val="24"/>
          <w:szCs w:val="24"/>
        </w:rPr>
        <w:t>the motion to dismiss the action for injunctive relief that RWC 19.62 was unconstitutional.</w:t>
      </w:r>
    </w:p>
    <w:p w:rsidR="0035670D"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Kassler Escrow Inc. appealed the trial court's ruling to the Supreme Court.</w:t>
      </w:r>
    </w:p>
    <w:p w:rsidR="000105A9"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Issue/ Answer</w:t>
      </w:r>
    </w:p>
    <w:p w:rsidR="000105A9"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Do Escrow</w:t>
      </w:r>
      <w:r w:rsidR="00A719A9">
        <w:rPr>
          <w:rFonts w:ascii="Times New Roman" w:hAnsi="Times New Roman" w:cs="Times New Roman"/>
          <w:sz w:val="24"/>
          <w:szCs w:val="24"/>
        </w:rPr>
        <w:t xml:space="preserve"> Inc.’s activities comprise the unauthorized practice of law?</w:t>
      </w:r>
    </w:p>
    <w:p w:rsidR="00A719A9"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No.</w:t>
      </w:r>
    </w:p>
    <w:p w:rsidR="00A719A9"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 xml:space="preserve">Decision </w:t>
      </w:r>
    </w:p>
    <w:p w:rsidR="00A719A9"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Supreme Court overruled the decision of the trial court since </w:t>
      </w:r>
      <w:r w:rsidR="00E847CA">
        <w:rPr>
          <w:rFonts w:ascii="Times New Roman" w:hAnsi="Times New Roman" w:cs="Times New Roman"/>
          <w:sz w:val="24"/>
          <w:szCs w:val="24"/>
        </w:rPr>
        <w:t>Escrow's activities constituted authorized practice</w:t>
      </w:r>
      <w:r w:rsidR="00B614D4">
        <w:rPr>
          <w:rFonts w:ascii="Times New Roman" w:hAnsi="Times New Roman" w:cs="Times New Roman"/>
          <w:sz w:val="24"/>
          <w:szCs w:val="24"/>
        </w:rPr>
        <w:t xml:space="preserve"> of the law</w:t>
      </w:r>
      <w:r w:rsidR="00E847CA">
        <w:rPr>
          <w:rFonts w:ascii="Times New Roman" w:hAnsi="Times New Roman" w:cs="Times New Roman"/>
          <w:sz w:val="24"/>
          <w:szCs w:val="24"/>
        </w:rPr>
        <w:t xml:space="preserve"> a</w:t>
      </w:r>
      <w:r w:rsidR="00B614D4">
        <w:rPr>
          <w:rFonts w:ascii="Times New Roman" w:hAnsi="Times New Roman" w:cs="Times New Roman"/>
          <w:sz w:val="24"/>
          <w:szCs w:val="24"/>
        </w:rPr>
        <w:t xml:space="preserve">s enshrined in the RCW 19.62; therefore, </w:t>
      </w:r>
      <w:r w:rsidR="00D80EBD">
        <w:rPr>
          <w:rFonts w:ascii="Times New Roman" w:hAnsi="Times New Roman" w:cs="Times New Roman"/>
          <w:sz w:val="24"/>
          <w:szCs w:val="24"/>
        </w:rPr>
        <w:t>it has</w:t>
      </w:r>
      <w:r w:rsidR="00E847CA">
        <w:rPr>
          <w:rFonts w:ascii="Times New Roman" w:hAnsi="Times New Roman" w:cs="Times New Roman"/>
          <w:sz w:val="24"/>
          <w:szCs w:val="24"/>
        </w:rPr>
        <w:t xml:space="preserve"> no exceptions.</w:t>
      </w:r>
    </w:p>
    <w:p w:rsidR="00E16408"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Rule</w:t>
      </w:r>
    </w:p>
    <w:p w:rsidR="00B614D4"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The court is endowed with the authority to determine activities that constitute au</w:t>
      </w:r>
      <w:r w:rsidR="00923BEB">
        <w:rPr>
          <w:rFonts w:ascii="Times New Roman" w:hAnsi="Times New Roman" w:cs="Times New Roman"/>
          <w:sz w:val="24"/>
          <w:szCs w:val="24"/>
        </w:rPr>
        <w:t xml:space="preserve">thorized practice of law. Cont. </w:t>
      </w:r>
      <w:r>
        <w:rPr>
          <w:rFonts w:ascii="Times New Roman" w:hAnsi="Times New Roman" w:cs="Times New Roman"/>
          <w:sz w:val="24"/>
          <w:szCs w:val="24"/>
        </w:rPr>
        <w:t xml:space="preserve">Art. IV </w:t>
      </w:r>
      <w:r w:rsidR="00785CA5">
        <w:rPr>
          <w:rFonts w:ascii="Times New Roman" w:hAnsi="Times New Roman" w:cs="Times New Roman"/>
          <w:sz w:val="24"/>
          <w:szCs w:val="24"/>
        </w:rPr>
        <w:t xml:space="preserve">Rule no. 1 stipulates that </w:t>
      </w:r>
      <w:r w:rsidR="00923BEB">
        <w:rPr>
          <w:rFonts w:ascii="Times New Roman" w:hAnsi="Times New Roman" w:cs="Times New Roman"/>
          <w:sz w:val="24"/>
          <w:szCs w:val="24"/>
        </w:rPr>
        <w:t xml:space="preserve">the Supreme Court is vested with judicial powers </w:t>
      </w:r>
      <w:r>
        <w:rPr>
          <w:rFonts w:ascii="Times New Roman" w:hAnsi="Times New Roman" w:cs="Times New Roman"/>
          <w:sz w:val="24"/>
          <w:szCs w:val="24"/>
        </w:rPr>
        <w:t xml:space="preserve">and can </w:t>
      </w:r>
      <w:r w:rsidR="00923BEB">
        <w:rPr>
          <w:rFonts w:ascii="Times New Roman" w:hAnsi="Times New Roman" w:cs="Times New Roman"/>
          <w:sz w:val="24"/>
          <w:szCs w:val="24"/>
        </w:rPr>
        <w:t xml:space="preserve">exercise </w:t>
      </w:r>
      <w:r>
        <w:rPr>
          <w:rFonts w:ascii="Times New Roman" w:hAnsi="Times New Roman" w:cs="Times New Roman"/>
          <w:sz w:val="24"/>
          <w:szCs w:val="24"/>
        </w:rPr>
        <w:t>them inherently</w:t>
      </w:r>
      <w:r w:rsidR="00923BEB">
        <w:rPr>
          <w:rFonts w:ascii="Times New Roman" w:hAnsi="Times New Roman" w:cs="Times New Roman"/>
          <w:sz w:val="24"/>
          <w:szCs w:val="24"/>
        </w:rPr>
        <w:t xml:space="preserve"> independent of other branches of the government. </w:t>
      </w:r>
      <w:r>
        <w:rPr>
          <w:rFonts w:ascii="Times New Roman" w:hAnsi="Times New Roman" w:cs="Times New Roman"/>
          <w:sz w:val="24"/>
          <w:szCs w:val="24"/>
        </w:rPr>
        <w:t>Inherent power refers to</w:t>
      </w:r>
      <w:r w:rsidR="00722932">
        <w:rPr>
          <w:rFonts w:ascii="Times New Roman" w:hAnsi="Times New Roman" w:cs="Times New Roman"/>
          <w:sz w:val="24"/>
          <w:szCs w:val="24"/>
        </w:rPr>
        <w:t xml:space="preserve"> the authority not expressly provided for in the constitution but which is derived from the creation of a separate branch of government and which may be exercised by the branch to protect itself in the performance of its constitutional </w:t>
      </w:r>
      <w:r w:rsidR="0043321F">
        <w:rPr>
          <w:rFonts w:ascii="Times New Roman" w:hAnsi="Times New Roman" w:cs="Times New Roman"/>
          <w:sz w:val="24"/>
          <w:szCs w:val="24"/>
        </w:rPr>
        <w:t>duties (In re Juvenile Directo</w:t>
      </w:r>
      <w:r>
        <w:rPr>
          <w:rFonts w:ascii="Times New Roman" w:hAnsi="Times New Roman" w:cs="Times New Roman"/>
          <w:sz w:val="24"/>
          <w:szCs w:val="24"/>
        </w:rPr>
        <w:t>r, 87 Wash. 2d 232, 552 P.2d 163 (1976).</w:t>
      </w:r>
    </w:p>
    <w:p w:rsidR="00D47685" w:rsidRPr="00D47685" w:rsidRDefault="002F7D93" w:rsidP="001B7CA5">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Court’s Rule Reasoning</w:t>
      </w:r>
    </w:p>
    <w:p w:rsidR="00207C4C"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litigation process, the Court reasoned </w:t>
      </w:r>
      <w:r w:rsidR="00B614D4">
        <w:rPr>
          <w:rFonts w:ascii="Times New Roman" w:hAnsi="Times New Roman" w:cs="Times New Roman"/>
          <w:sz w:val="24"/>
          <w:szCs w:val="24"/>
        </w:rPr>
        <w:t>E</w:t>
      </w:r>
      <w:r w:rsidR="00283DA4">
        <w:rPr>
          <w:rFonts w:ascii="Times New Roman" w:hAnsi="Times New Roman" w:cs="Times New Roman"/>
          <w:sz w:val="24"/>
          <w:szCs w:val="24"/>
        </w:rPr>
        <w:t>s</w:t>
      </w:r>
      <w:r w:rsidR="00B614D4">
        <w:rPr>
          <w:rFonts w:ascii="Times New Roman" w:hAnsi="Times New Roman" w:cs="Times New Roman"/>
          <w:sz w:val="24"/>
          <w:szCs w:val="24"/>
        </w:rPr>
        <w:t xml:space="preserve">crow Inc. meet the regulations enshrined in the RCW 19.62 that authorizes laypersons in the real estate business to carry out various transactions that impact on the legal rights of the company. In this regard, their activities lie within the authorized practice of law </w:t>
      </w:r>
      <w:r w:rsidR="00405302">
        <w:rPr>
          <w:rFonts w:ascii="Times New Roman" w:hAnsi="Times New Roman" w:cs="Times New Roman"/>
          <w:sz w:val="24"/>
          <w:szCs w:val="24"/>
        </w:rPr>
        <w:t xml:space="preserve">boundaries; therefore, the trial court </w:t>
      </w:r>
      <w:r w:rsidR="00B614D4">
        <w:rPr>
          <w:rFonts w:ascii="Times New Roman" w:hAnsi="Times New Roman" w:cs="Times New Roman"/>
          <w:sz w:val="24"/>
          <w:szCs w:val="24"/>
        </w:rPr>
        <w:t>violate</w:t>
      </w:r>
      <w:r w:rsidR="00405302">
        <w:rPr>
          <w:rFonts w:ascii="Times New Roman" w:hAnsi="Times New Roman" w:cs="Times New Roman"/>
          <w:sz w:val="24"/>
          <w:szCs w:val="24"/>
        </w:rPr>
        <w:t>d</w:t>
      </w:r>
      <w:r w:rsidR="00B614D4">
        <w:rPr>
          <w:rFonts w:ascii="Times New Roman" w:hAnsi="Times New Roman" w:cs="Times New Roman"/>
          <w:sz w:val="24"/>
          <w:szCs w:val="24"/>
        </w:rPr>
        <w:t xml:space="preserve"> the separation of powers doctrine</w:t>
      </w:r>
      <w:r w:rsidR="00405302">
        <w:rPr>
          <w:rFonts w:ascii="Times New Roman" w:hAnsi="Times New Roman" w:cs="Times New Roman"/>
          <w:sz w:val="24"/>
          <w:szCs w:val="24"/>
        </w:rPr>
        <w:t xml:space="preserve"> which is an essential principle of the American political system</w:t>
      </w:r>
      <w:r w:rsidR="00B614D4">
        <w:rPr>
          <w:rFonts w:ascii="Times New Roman" w:hAnsi="Times New Roman" w:cs="Times New Roman"/>
          <w:sz w:val="24"/>
          <w:szCs w:val="24"/>
        </w:rPr>
        <w:t>.</w:t>
      </w:r>
    </w:p>
    <w:p w:rsidR="00B614D4" w:rsidRPr="00722932" w:rsidRDefault="002F7D93" w:rsidP="001B7CA5">
      <w:pPr>
        <w:spacing w:line="480" w:lineRule="auto"/>
        <w:rPr>
          <w:rFonts w:ascii="Times New Roman" w:hAnsi="Times New Roman" w:cs="Times New Roman"/>
          <w:sz w:val="24"/>
          <w:szCs w:val="24"/>
        </w:rPr>
      </w:pPr>
      <w:r>
        <w:rPr>
          <w:rFonts w:ascii="Times New Roman" w:hAnsi="Times New Roman" w:cs="Times New Roman"/>
          <w:sz w:val="24"/>
          <w:szCs w:val="24"/>
        </w:rPr>
        <w:t>Consequently, the Court disagrees with the law firm since Escrow'</w:t>
      </w:r>
      <w:r w:rsidR="00405302">
        <w:rPr>
          <w:rFonts w:ascii="Times New Roman" w:hAnsi="Times New Roman" w:cs="Times New Roman"/>
          <w:sz w:val="24"/>
          <w:szCs w:val="24"/>
        </w:rPr>
        <w:t xml:space="preserve">s transactions prescribe to the </w:t>
      </w:r>
      <w:r>
        <w:rPr>
          <w:rFonts w:ascii="Times New Roman" w:hAnsi="Times New Roman" w:cs="Times New Roman"/>
          <w:sz w:val="24"/>
          <w:szCs w:val="24"/>
        </w:rPr>
        <w:t>realms of constitutionality and are protected by the RCW 19</w:t>
      </w:r>
      <w:r w:rsidR="00405302">
        <w:rPr>
          <w:rFonts w:ascii="Times New Roman" w:hAnsi="Times New Roman" w:cs="Times New Roman"/>
          <w:sz w:val="24"/>
          <w:szCs w:val="24"/>
        </w:rPr>
        <w:t xml:space="preserve">.62. </w:t>
      </w:r>
    </w:p>
    <w:p w:rsidR="00DF4C51" w:rsidRPr="00DF4C51" w:rsidRDefault="00DF4C51" w:rsidP="00686FE2">
      <w:pPr>
        <w:rPr>
          <w:rFonts w:ascii="Times New Roman" w:hAnsi="Times New Roman" w:cs="Times New Roman"/>
          <w:b/>
          <w:sz w:val="24"/>
          <w:szCs w:val="24"/>
        </w:rPr>
      </w:pPr>
    </w:p>
    <w:p w:rsidR="00416907" w:rsidRDefault="00416907" w:rsidP="00416907">
      <w:pPr>
        <w:rPr>
          <w:rFonts w:ascii="Times New Roman" w:hAnsi="Times New Roman" w:cs="Times New Roman"/>
          <w:sz w:val="24"/>
          <w:szCs w:val="24"/>
        </w:rPr>
      </w:pPr>
    </w:p>
    <w:p w:rsidR="00405302" w:rsidRDefault="002F7D93" w:rsidP="00416907">
      <w:pPr>
        <w:rPr>
          <w:rFonts w:ascii="Times New Roman" w:hAnsi="Times New Roman" w:cs="Times New Roman"/>
          <w:b/>
          <w:sz w:val="24"/>
          <w:szCs w:val="24"/>
          <w:u w:val="single"/>
        </w:rPr>
      </w:pPr>
      <w:r w:rsidRPr="00E14FBB">
        <w:rPr>
          <w:rFonts w:ascii="Times New Roman" w:hAnsi="Times New Roman" w:cs="Times New Roman"/>
          <w:b/>
          <w:sz w:val="24"/>
          <w:szCs w:val="24"/>
          <w:u w:val="single"/>
        </w:rPr>
        <w:t xml:space="preserve">Citation </w:t>
      </w:r>
    </w:p>
    <w:p w:rsidR="00E14FBB" w:rsidRDefault="002F7D93" w:rsidP="00416907">
      <w:pPr>
        <w:rPr>
          <w:rFonts w:ascii="Times New Roman" w:hAnsi="Times New Roman" w:cs="Times New Roman"/>
          <w:sz w:val="24"/>
          <w:szCs w:val="24"/>
        </w:rPr>
      </w:pPr>
      <w:r w:rsidRPr="00E14FBB">
        <w:rPr>
          <w:rFonts w:ascii="Times New Roman" w:hAnsi="Times New Roman" w:cs="Times New Roman"/>
          <w:sz w:val="24"/>
          <w:szCs w:val="24"/>
          <w:u w:val="single"/>
        </w:rPr>
        <w:t>In re Estate of Divine</w:t>
      </w:r>
      <w:r>
        <w:rPr>
          <w:rFonts w:ascii="Times New Roman" w:hAnsi="Times New Roman" w:cs="Times New Roman"/>
          <w:sz w:val="24"/>
          <w:szCs w:val="24"/>
        </w:rPr>
        <w:t xml:space="preserve">, 263 3. App.3d 799, 635 N. E. 2d 581 (1994). </w:t>
      </w:r>
    </w:p>
    <w:p w:rsidR="00E14FBB" w:rsidRDefault="002F7D93" w:rsidP="00416907">
      <w:pPr>
        <w:rPr>
          <w:rFonts w:ascii="Times New Roman" w:hAnsi="Times New Roman" w:cs="Times New Roman"/>
          <w:b/>
          <w:sz w:val="24"/>
          <w:szCs w:val="24"/>
          <w:u w:val="single"/>
        </w:rPr>
      </w:pPr>
      <w:r w:rsidRPr="00E14FBB">
        <w:rPr>
          <w:rFonts w:ascii="Times New Roman" w:hAnsi="Times New Roman" w:cs="Times New Roman"/>
          <w:b/>
          <w:sz w:val="24"/>
          <w:szCs w:val="24"/>
          <w:u w:val="single"/>
        </w:rPr>
        <w:t>Facts</w:t>
      </w:r>
    </w:p>
    <w:p w:rsidR="00E14FBB"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petitioners alleged that Attorney Poznanovich and his part-time secretary Giancola actions that led Richard to give them $3000 each in his will were intertwined. </w:t>
      </w:r>
      <w:r w:rsidR="00AC32AF">
        <w:rPr>
          <w:rFonts w:ascii="Times New Roman" w:hAnsi="Times New Roman" w:cs="Times New Roman"/>
          <w:sz w:val="24"/>
          <w:szCs w:val="24"/>
        </w:rPr>
        <w:t xml:space="preserve">Richard gives the latter </w:t>
      </w:r>
      <w:r w:rsidR="003F57D0">
        <w:rPr>
          <w:rFonts w:ascii="Times New Roman" w:hAnsi="Times New Roman" w:cs="Times New Roman"/>
          <w:sz w:val="24"/>
          <w:szCs w:val="24"/>
        </w:rPr>
        <w:t xml:space="preserve">two bank accounts’ </w:t>
      </w:r>
      <w:r w:rsidR="00AC32AF">
        <w:rPr>
          <w:rFonts w:ascii="Times New Roman" w:hAnsi="Times New Roman" w:cs="Times New Roman"/>
          <w:sz w:val="24"/>
          <w:szCs w:val="24"/>
        </w:rPr>
        <w:t>passbooks also raised legal concerns since she had offered tax income services to Richard and his wife, Lila</w:t>
      </w:r>
      <w:r w:rsidR="00881436">
        <w:rPr>
          <w:rFonts w:ascii="Times New Roman" w:hAnsi="Times New Roman" w:cs="Times New Roman"/>
          <w:sz w:val="24"/>
          <w:szCs w:val="24"/>
        </w:rPr>
        <w:t xml:space="preserve"> while working as a paralegal </w:t>
      </w:r>
      <w:r w:rsidR="00AC32AF">
        <w:rPr>
          <w:rFonts w:ascii="Times New Roman" w:hAnsi="Times New Roman" w:cs="Times New Roman"/>
          <w:sz w:val="24"/>
          <w:szCs w:val="24"/>
        </w:rPr>
        <w:t>employee under Poz</w:t>
      </w:r>
      <w:r w:rsidR="00881436">
        <w:rPr>
          <w:rFonts w:ascii="Times New Roman" w:hAnsi="Times New Roman" w:cs="Times New Roman"/>
          <w:sz w:val="24"/>
          <w:szCs w:val="24"/>
        </w:rPr>
        <w:t>nanovich.</w:t>
      </w:r>
      <w:r w:rsidR="003F57D0">
        <w:rPr>
          <w:rFonts w:ascii="Times New Roman" w:hAnsi="Times New Roman" w:cs="Times New Roman"/>
          <w:sz w:val="24"/>
          <w:szCs w:val="24"/>
        </w:rPr>
        <w:t xml:space="preserve"> Poznanovich himself had participated in the drafting of the will.</w:t>
      </w:r>
      <w:r w:rsidR="00AC32AF">
        <w:rPr>
          <w:rFonts w:ascii="Times New Roman" w:hAnsi="Times New Roman" w:cs="Times New Roman"/>
          <w:sz w:val="24"/>
          <w:szCs w:val="24"/>
        </w:rPr>
        <w:t xml:space="preserve"> </w:t>
      </w:r>
      <w:r>
        <w:rPr>
          <w:rFonts w:ascii="Times New Roman" w:hAnsi="Times New Roman" w:cs="Times New Roman"/>
          <w:sz w:val="24"/>
          <w:szCs w:val="24"/>
        </w:rPr>
        <w:t>Besides, they alleged</w:t>
      </w:r>
      <w:r w:rsidR="00AC32AF">
        <w:rPr>
          <w:rFonts w:ascii="Times New Roman" w:hAnsi="Times New Roman" w:cs="Times New Roman"/>
          <w:sz w:val="24"/>
          <w:szCs w:val="24"/>
        </w:rPr>
        <w:t xml:space="preserve"> that Poznanovich breached </w:t>
      </w:r>
      <w:r w:rsidR="00881436">
        <w:rPr>
          <w:rFonts w:ascii="Times New Roman" w:hAnsi="Times New Roman" w:cs="Times New Roman"/>
          <w:sz w:val="24"/>
          <w:szCs w:val="24"/>
        </w:rPr>
        <w:t>the fiduciary code</w:t>
      </w:r>
      <w:r w:rsidR="003F57D0">
        <w:rPr>
          <w:rFonts w:ascii="Times New Roman" w:hAnsi="Times New Roman" w:cs="Times New Roman"/>
          <w:sz w:val="24"/>
          <w:szCs w:val="24"/>
        </w:rPr>
        <w:t xml:space="preserve"> of conduct requiring attorneys to maintain confidentiality and privacy of their clients’ personal information.</w:t>
      </w:r>
      <w:r>
        <w:rPr>
          <w:rFonts w:ascii="Times New Roman" w:hAnsi="Times New Roman" w:cs="Times New Roman"/>
          <w:sz w:val="24"/>
          <w:szCs w:val="24"/>
        </w:rPr>
        <w:t xml:space="preserve"> </w:t>
      </w:r>
      <w:r w:rsidR="003F57D0">
        <w:rPr>
          <w:rFonts w:ascii="Times New Roman" w:hAnsi="Times New Roman" w:cs="Times New Roman"/>
          <w:sz w:val="24"/>
          <w:szCs w:val="24"/>
        </w:rPr>
        <w:t>Besides, they accused Poznanovich of deriving financial benefits from the transactions that gifted Giancola the two bank accounts’ passbooks. The petitioners alleged that Poznanovich’s status as an attorney made Giancola accountable for his actions.</w:t>
      </w:r>
    </w:p>
    <w:p w:rsidR="003F57D0" w:rsidRDefault="002F7D93" w:rsidP="00EC0466">
      <w:pPr>
        <w:spacing w:line="480" w:lineRule="auto"/>
        <w:rPr>
          <w:rFonts w:ascii="Times New Roman" w:hAnsi="Times New Roman" w:cs="Times New Roman"/>
          <w:b/>
          <w:sz w:val="24"/>
          <w:szCs w:val="24"/>
          <w:u w:val="single"/>
        </w:rPr>
      </w:pPr>
      <w:r w:rsidRPr="003F57D0">
        <w:rPr>
          <w:rFonts w:ascii="Times New Roman" w:hAnsi="Times New Roman" w:cs="Times New Roman"/>
          <w:b/>
          <w:sz w:val="24"/>
          <w:szCs w:val="24"/>
          <w:u w:val="single"/>
        </w:rPr>
        <w:t>Procedure</w:t>
      </w:r>
    </w:p>
    <w:p w:rsidR="00744A6A"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circuit court dismissed the motion since no law supported that Giancola should be held accountable for Poznanovich's actions. </w:t>
      </w:r>
    </w:p>
    <w:p w:rsidR="005B10BB"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petitioners appealed </w:t>
      </w:r>
      <w:r w:rsidR="00D063BE">
        <w:rPr>
          <w:rFonts w:ascii="Times New Roman" w:hAnsi="Times New Roman" w:cs="Times New Roman"/>
          <w:sz w:val="24"/>
          <w:szCs w:val="24"/>
        </w:rPr>
        <w:t>to the decision of the circuit court to the trial court.</w:t>
      </w:r>
    </w:p>
    <w:p w:rsidR="00744A6A" w:rsidRDefault="002F7D93" w:rsidP="00EC0466">
      <w:pPr>
        <w:spacing w:line="480" w:lineRule="auto"/>
        <w:rPr>
          <w:rFonts w:ascii="Times New Roman" w:hAnsi="Times New Roman" w:cs="Times New Roman"/>
          <w:b/>
          <w:sz w:val="24"/>
          <w:szCs w:val="24"/>
          <w:u w:val="single"/>
        </w:rPr>
      </w:pPr>
      <w:r w:rsidRPr="00744A6A">
        <w:rPr>
          <w:rFonts w:ascii="Times New Roman" w:hAnsi="Times New Roman" w:cs="Times New Roman"/>
          <w:b/>
          <w:sz w:val="24"/>
          <w:szCs w:val="24"/>
          <w:u w:val="single"/>
        </w:rPr>
        <w:t>Issue/ Answer</w:t>
      </w:r>
    </w:p>
    <w:p w:rsidR="00E21A2A"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Does Giancola have a fiduciary responsibility to Poznanovich's clients and is she liable to </w:t>
      </w:r>
      <w:r w:rsidR="004624A6">
        <w:rPr>
          <w:rFonts w:ascii="Times New Roman" w:hAnsi="Times New Roman" w:cs="Times New Roman"/>
          <w:sz w:val="24"/>
          <w:szCs w:val="24"/>
        </w:rPr>
        <w:t>her employer’s action</w:t>
      </w:r>
      <w:r>
        <w:rPr>
          <w:rFonts w:ascii="Times New Roman" w:hAnsi="Times New Roman" w:cs="Times New Roman"/>
          <w:sz w:val="24"/>
          <w:szCs w:val="24"/>
        </w:rPr>
        <w:t>?</w:t>
      </w:r>
    </w:p>
    <w:p w:rsidR="00E21A2A"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No</w:t>
      </w:r>
    </w:p>
    <w:p w:rsidR="00B15687" w:rsidRDefault="00B15687" w:rsidP="00EC0466">
      <w:pPr>
        <w:spacing w:line="480" w:lineRule="auto"/>
        <w:rPr>
          <w:rFonts w:ascii="Times New Roman" w:hAnsi="Times New Roman" w:cs="Times New Roman"/>
          <w:sz w:val="24"/>
          <w:szCs w:val="24"/>
        </w:rPr>
      </w:pPr>
    </w:p>
    <w:p w:rsidR="00E21A2A" w:rsidRDefault="002F7D93" w:rsidP="00EC0466">
      <w:pPr>
        <w:spacing w:line="480" w:lineRule="auto"/>
        <w:rPr>
          <w:rFonts w:ascii="Times New Roman" w:hAnsi="Times New Roman" w:cs="Times New Roman"/>
          <w:b/>
          <w:sz w:val="24"/>
          <w:szCs w:val="24"/>
          <w:u w:val="single"/>
        </w:rPr>
      </w:pPr>
      <w:r w:rsidRPr="00E21A2A">
        <w:rPr>
          <w:rFonts w:ascii="Times New Roman" w:hAnsi="Times New Roman" w:cs="Times New Roman"/>
          <w:b/>
          <w:sz w:val="24"/>
          <w:szCs w:val="24"/>
          <w:u w:val="single"/>
        </w:rPr>
        <w:t xml:space="preserve">Decision </w:t>
      </w:r>
    </w:p>
    <w:p w:rsidR="00E21A2A"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The trial court ruled that the Giancola who is a paralegal employee to Poznanovich is not liable to his clients, but only accountable to the attorney himself.</w:t>
      </w:r>
    </w:p>
    <w:p w:rsidR="00B15687" w:rsidRDefault="002F7D93" w:rsidP="00EC0466">
      <w:pPr>
        <w:spacing w:line="480" w:lineRule="auto"/>
        <w:rPr>
          <w:rFonts w:ascii="Times New Roman" w:hAnsi="Times New Roman" w:cs="Times New Roman"/>
          <w:b/>
          <w:sz w:val="24"/>
          <w:szCs w:val="24"/>
          <w:u w:val="single"/>
        </w:rPr>
      </w:pPr>
      <w:r w:rsidRPr="00B15687">
        <w:rPr>
          <w:rFonts w:ascii="Times New Roman" w:hAnsi="Times New Roman" w:cs="Times New Roman"/>
          <w:b/>
          <w:sz w:val="24"/>
          <w:szCs w:val="24"/>
          <w:u w:val="single"/>
        </w:rPr>
        <w:t xml:space="preserve">Rule </w:t>
      </w:r>
    </w:p>
    <w:p w:rsidR="00B15687"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A paralegal employee cannot be sued for the actions of legal malpractices of their attorney employers. However, the attorney can be held responsible for the ethical and legal malpractices of their paralegal employees.</w:t>
      </w:r>
    </w:p>
    <w:p w:rsidR="00394444" w:rsidRPr="00D47685" w:rsidRDefault="002F7D93" w:rsidP="00394444">
      <w:pPr>
        <w:spacing w:line="480" w:lineRule="auto"/>
        <w:rPr>
          <w:rFonts w:ascii="Times New Roman" w:hAnsi="Times New Roman" w:cs="Times New Roman"/>
          <w:b/>
          <w:sz w:val="24"/>
          <w:szCs w:val="24"/>
          <w:u w:val="single"/>
        </w:rPr>
      </w:pPr>
      <w:r w:rsidRPr="00D47685">
        <w:rPr>
          <w:rFonts w:ascii="Times New Roman" w:hAnsi="Times New Roman" w:cs="Times New Roman"/>
          <w:b/>
          <w:sz w:val="24"/>
          <w:szCs w:val="24"/>
          <w:u w:val="single"/>
        </w:rPr>
        <w:t>Court’s Rule Reasoning</w:t>
      </w:r>
    </w:p>
    <w:p w:rsidR="00394444"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trial court reasoned that holding Giancola responsible for the actions of her employer as </w:t>
      </w:r>
      <w:r w:rsidR="005B10BB">
        <w:rPr>
          <w:rFonts w:ascii="Times New Roman" w:hAnsi="Times New Roman" w:cs="Times New Roman"/>
          <w:sz w:val="24"/>
          <w:szCs w:val="24"/>
        </w:rPr>
        <w:t xml:space="preserve">if </w:t>
      </w:r>
      <w:r>
        <w:rPr>
          <w:rFonts w:ascii="Times New Roman" w:hAnsi="Times New Roman" w:cs="Times New Roman"/>
          <w:sz w:val="24"/>
          <w:szCs w:val="24"/>
        </w:rPr>
        <w:t xml:space="preserve">she was an attorney violated the respondeat superior law. In this regard, she is only considered as a subordinate employee to the attorney and cannot independently practice law. As a result, the </w:t>
      </w:r>
      <w:r w:rsidR="005B10BB">
        <w:rPr>
          <w:rFonts w:ascii="Times New Roman" w:hAnsi="Times New Roman" w:cs="Times New Roman"/>
          <w:sz w:val="24"/>
          <w:szCs w:val="24"/>
        </w:rPr>
        <w:t>petitioners’</w:t>
      </w:r>
      <w:r>
        <w:rPr>
          <w:rFonts w:ascii="Times New Roman" w:hAnsi="Times New Roman" w:cs="Times New Roman"/>
          <w:sz w:val="24"/>
          <w:szCs w:val="24"/>
        </w:rPr>
        <w:t xml:space="preserve"> claims are null and void since Giancola is only a servant and not equal partners to the attorney. </w:t>
      </w:r>
      <w:r w:rsidR="005B10BB">
        <w:rPr>
          <w:rFonts w:ascii="Times New Roman" w:hAnsi="Times New Roman" w:cs="Times New Roman"/>
          <w:sz w:val="24"/>
          <w:szCs w:val="24"/>
        </w:rPr>
        <w:t>Again, she does not have a fiduciary obligation to Poznanovich’s clients since she is under her employer and not legally bonded to do so. Despite, the fiduciary in question did not receive joint accounts from Richard; therefore, there is no burden of proof on him. Nonetheless, there are no pieces of evidence to prove that there were irregularities in the transactions that involved the transfer.</w:t>
      </w:r>
    </w:p>
    <w:p w:rsidR="005B10BB"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this regard, </w:t>
      </w:r>
      <w:r w:rsidR="00D063BE">
        <w:rPr>
          <w:rFonts w:ascii="Times New Roman" w:hAnsi="Times New Roman" w:cs="Times New Roman"/>
          <w:sz w:val="24"/>
          <w:szCs w:val="24"/>
        </w:rPr>
        <w:t>the trial court upheld the judgment of the circuit since the allegations were based on speculation, suspicion, conjecture, and guess.</w:t>
      </w:r>
    </w:p>
    <w:p w:rsidR="002532E0" w:rsidRDefault="002F7D93" w:rsidP="00EC0466">
      <w:pPr>
        <w:spacing w:line="480" w:lineRule="auto"/>
        <w:rPr>
          <w:rFonts w:ascii="Times New Roman" w:hAnsi="Times New Roman" w:cs="Times New Roman"/>
          <w:b/>
          <w:sz w:val="24"/>
          <w:szCs w:val="24"/>
          <w:u w:val="single"/>
        </w:rPr>
      </w:pPr>
      <w:r w:rsidRPr="002532E0">
        <w:rPr>
          <w:rFonts w:ascii="Times New Roman" w:hAnsi="Times New Roman" w:cs="Times New Roman"/>
          <w:b/>
          <w:sz w:val="24"/>
          <w:szCs w:val="24"/>
          <w:u w:val="single"/>
        </w:rPr>
        <w:t>Citation</w:t>
      </w:r>
    </w:p>
    <w:p w:rsidR="002532E0"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u w:val="single"/>
        </w:rPr>
        <w:t>The Florida Bar v. Furman,</w:t>
      </w:r>
      <w:r>
        <w:rPr>
          <w:rFonts w:ascii="Times New Roman" w:hAnsi="Times New Roman" w:cs="Times New Roman"/>
          <w:sz w:val="24"/>
          <w:szCs w:val="24"/>
        </w:rPr>
        <w:t xml:space="preserve"> 376 So. 2d 378 (Fla. 1979).</w:t>
      </w:r>
    </w:p>
    <w:p w:rsidR="007A578A" w:rsidRDefault="002F7D93" w:rsidP="00EC0466">
      <w:pPr>
        <w:spacing w:line="480" w:lineRule="auto"/>
        <w:rPr>
          <w:rFonts w:ascii="Times New Roman" w:hAnsi="Times New Roman" w:cs="Times New Roman"/>
          <w:b/>
          <w:sz w:val="24"/>
          <w:szCs w:val="24"/>
          <w:u w:val="single"/>
        </w:rPr>
      </w:pPr>
      <w:r w:rsidRPr="007A578A">
        <w:rPr>
          <w:rFonts w:ascii="Times New Roman" w:hAnsi="Times New Roman" w:cs="Times New Roman"/>
          <w:b/>
          <w:sz w:val="24"/>
          <w:szCs w:val="24"/>
          <w:u w:val="single"/>
        </w:rPr>
        <w:t>Facts</w:t>
      </w:r>
    </w:p>
    <w:p w:rsidR="009772D3"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The Florida Bar accused Furman of engaging in unauthorized practice of the law since she was involved in giving pieces of legal advice relating to marriage dissolutions. Furman is faced with allegations that she extended legal advice to at least seven of the bar's customers</w:t>
      </w:r>
      <w:r w:rsidR="008A3541">
        <w:rPr>
          <w:rFonts w:ascii="Times New Roman" w:hAnsi="Times New Roman" w:cs="Times New Roman"/>
          <w:sz w:val="24"/>
          <w:szCs w:val="24"/>
        </w:rPr>
        <w:t>. As a result, she collected</w:t>
      </w:r>
      <w:r>
        <w:rPr>
          <w:rFonts w:ascii="Times New Roman" w:hAnsi="Times New Roman" w:cs="Times New Roman"/>
          <w:sz w:val="24"/>
          <w:szCs w:val="24"/>
        </w:rPr>
        <w:t xml:space="preserve"> information that would help her prepare plead</w:t>
      </w:r>
      <w:r w:rsidR="008A3541">
        <w:rPr>
          <w:rFonts w:ascii="Times New Roman" w:hAnsi="Times New Roman" w:cs="Times New Roman"/>
          <w:sz w:val="24"/>
          <w:szCs w:val="24"/>
        </w:rPr>
        <w:t>ings that would meet the interests of her clients unlawfully</w:t>
      </w:r>
      <w:r>
        <w:rPr>
          <w:rFonts w:ascii="Times New Roman" w:hAnsi="Times New Roman" w:cs="Times New Roman"/>
          <w:sz w:val="24"/>
          <w:szCs w:val="24"/>
        </w:rPr>
        <w:t xml:space="preserve">. Besides, the bar reiterated that since she advertised herself as a legal expert in the Jacksonville Journal, she knowingly deceived the </w:t>
      </w:r>
      <w:r w:rsidR="008A3541">
        <w:rPr>
          <w:rFonts w:ascii="Times New Roman" w:hAnsi="Times New Roman" w:cs="Times New Roman"/>
          <w:sz w:val="24"/>
          <w:szCs w:val="24"/>
        </w:rPr>
        <w:t xml:space="preserve">Florida </w:t>
      </w:r>
      <w:r>
        <w:rPr>
          <w:rFonts w:ascii="Times New Roman" w:hAnsi="Times New Roman" w:cs="Times New Roman"/>
          <w:sz w:val="24"/>
          <w:szCs w:val="24"/>
        </w:rPr>
        <w:t>public. She also sold divorce kits that reinforced her messages; therefore, she presented herself as a lawyer, and the customers</w:t>
      </w:r>
      <w:r w:rsidR="008A3541">
        <w:rPr>
          <w:rFonts w:ascii="Times New Roman" w:hAnsi="Times New Roman" w:cs="Times New Roman"/>
          <w:sz w:val="24"/>
          <w:szCs w:val="24"/>
        </w:rPr>
        <w:t xml:space="preserve"> were likely to get harmed from services. Again, the customers had to pay for the services.</w:t>
      </w:r>
    </w:p>
    <w:p w:rsidR="008A3541" w:rsidRDefault="002F7D93" w:rsidP="00EC0466">
      <w:pPr>
        <w:spacing w:line="480" w:lineRule="auto"/>
        <w:rPr>
          <w:rFonts w:ascii="Times New Roman" w:hAnsi="Times New Roman" w:cs="Times New Roman"/>
          <w:b/>
          <w:sz w:val="24"/>
          <w:szCs w:val="24"/>
          <w:u w:val="single"/>
        </w:rPr>
      </w:pPr>
      <w:r w:rsidRPr="008A3541">
        <w:rPr>
          <w:rFonts w:ascii="Times New Roman" w:hAnsi="Times New Roman" w:cs="Times New Roman"/>
          <w:b/>
          <w:sz w:val="24"/>
          <w:szCs w:val="24"/>
          <w:u w:val="single"/>
        </w:rPr>
        <w:t>Procedure</w:t>
      </w:r>
    </w:p>
    <w:p w:rsidR="00BF3F37"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7B2B7E">
        <w:rPr>
          <w:rFonts w:ascii="Times New Roman" w:hAnsi="Times New Roman" w:cs="Times New Roman"/>
          <w:sz w:val="24"/>
          <w:szCs w:val="24"/>
        </w:rPr>
        <w:t>Florida Bar petitioned to the Arizona circuit court that Furman was performing the unauthorized practice of law.</w:t>
      </w:r>
    </w:p>
    <w:p w:rsidR="004B6A75"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The circuit court’s decision was final.</w:t>
      </w:r>
    </w:p>
    <w:p w:rsidR="004B6A75" w:rsidRDefault="002F7D93" w:rsidP="00EC0466">
      <w:pPr>
        <w:spacing w:line="480" w:lineRule="auto"/>
        <w:rPr>
          <w:rFonts w:ascii="Times New Roman" w:hAnsi="Times New Roman" w:cs="Times New Roman"/>
          <w:b/>
          <w:sz w:val="24"/>
          <w:szCs w:val="24"/>
          <w:u w:val="single"/>
        </w:rPr>
      </w:pPr>
      <w:r w:rsidRPr="004B6A75">
        <w:rPr>
          <w:rFonts w:ascii="Times New Roman" w:hAnsi="Times New Roman" w:cs="Times New Roman"/>
          <w:b/>
          <w:sz w:val="24"/>
          <w:szCs w:val="24"/>
          <w:u w:val="single"/>
        </w:rPr>
        <w:t>Issue/ Answer</w:t>
      </w:r>
    </w:p>
    <w:p w:rsidR="004B6A75"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Do Furman's actions constitute the authorized practice of law?</w:t>
      </w:r>
    </w:p>
    <w:p w:rsidR="00D80EBD"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No</w:t>
      </w:r>
    </w:p>
    <w:p w:rsidR="007B2B7E" w:rsidRDefault="007B2B7E" w:rsidP="00EC0466">
      <w:pPr>
        <w:spacing w:line="480" w:lineRule="auto"/>
        <w:rPr>
          <w:rFonts w:ascii="Times New Roman" w:hAnsi="Times New Roman" w:cs="Times New Roman"/>
          <w:b/>
          <w:sz w:val="24"/>
          <w:szCs w:val="24"/>
          <w:u w:val="single"/>
        </w:rPr>
      </w:pPr>
    </w:p>
    <w:p w:rsidR="007B2B7E" w:rsidRDefault="002F7D93" w:rsidP="00EC0466">
      <w:pPr>
        <w:spacing w:line="480" w:lineRule="auto"/>
        <w:rPr>
          <w:rFonts w:ascii="Times New Roman" w:hAnsi="Times New Roman" w:cs="Times New Roman"/>
          <w:b/>
          <w:sz w:val="24"/>
          <w:szCs w:val="24"/>
          <w:u w:val="single"/>
        </w:rPr>
      </w:pPr>
      <w:r w:rsidRPr="007B2B7E">
        <w:rPr>
          <w:rFonts w:ascii="Times New Roman" w:hAnsi="Times New Roman" w:cs="Times New Roman"/>
          <w:b/>
          <w:sz w:val="24"/>
          <w:szCs w:val="24"/>
          <w:u w:val="single"/>
        </w:rPr>
        <w:t>Decision</w:t>
      </w:r>
    </w:p>
    <w:p w:rsidR="007B2B7E"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court </w:t>
      </w:r>
      <w:r w:rsidR="00B7332C">
        <w:rPr>
          <w:rFonts w:ascii="Times New Roman" w:hAnsi="Times New Roman" w:cs="Times New Roman"/>
          <w:sz w:val="24"/>
          <w:szCs w:val="24"/>
        </w:rPr>
        <w:t>found Furman guilty of the unauthorized practice of law, and she was banned permanently from engaging in such activities within the State of Florida.</w:t>
      </w:r>
    </w:p>
    <w:p w:rsidR="004F3402" w:rsidRDefault="002F7D93" w:rsidP="00EC0466">
      <w:pPr>
        <w:spacing w:line="480" w:lineRule="auto"/>
        <w:rPr>
          <w:rFonts w:ascii="Times New Roman" w:hAnsi="Times New Roman" w:cs="Times New Roman"/>
          <w:b/>
          <w:sz w:val="24"/>
          <w:szCs w:val="24"/>
          <w:u w:val="single"/>
        </w:rPr>
      </w:pPr>
      <w:r w:rsidRPr="004F3402">
        <w:rPr>
          <w:rFonts w:ascii="Times New Roman" w:hAnsi="Times New Roman" w:cs="Times New Roman"/>
          <w:b/>
          <w:sz w:val="24"/>
          <w:szCs w:val="24"/>
          <w:u w:val="single"/>
        </w:rPr>
        <w:t xml:space="preserve">Rule </w:t>
      </w:r>
    </w:p>
    <w:p w:rsidR="005B6920"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court had the authority to </w:t>
      </w:r>
      <w:r w:rsidR="004C6852">
        <w:rPr>
          <w:rFonts w:ascii="Times New Roman" w:hAnsi="Times New Roman" w:cs="Times New Roman"/>
          <w:sz w:val="24"/>
          <w:szCs w:val="24"/>
        </w:rPr>
        <w:t>exercise their judicial powers when deciding Furman’s case since she did not follow the guidelines stipulated in the Florida v. Brumbaugh ruling.</w:t>
      </w:r>
    </w:p>
    <w:p w:rsidR="00490FF8" w:rsidRDefault="002F7D93" w:rsidP="00EC0466">
      <w:pPr>
        <w:spacing w:line="480" w:lineRule="auto"/>
        <w:rPr>
          <w:rFonts w:ascii="Times New Roman" w:hAnsi="Times New Roman" w:cs="Times New Roman"/>
          <w:b/>
          <w:sz w:val="24"/>
          <w:szCs w:val="24"/>
          <w:u w:val="single"/>
        </w:rPr>
      </w:pPr>
      <w:r w:rsidRPr="005B6920">
        <w:rPr>
          <w:rFonts w:ascii="Times New Roman" w:hAnsi="Times New Roman" w:cs="Times New Roman"/>
          <w:b/>
          <w:sz w:val="24"/>
          <w:szCs w:val="24"/>
          <w:u w:val="single"/>
        </w:rPr>
        <w:t>Court’s Rule Reasoning</w:t>
      </w:r>
      <w:r w:rsidR="004C6852" w:rsidRPr="005B6920">
        <w:rPr>
          <w:rFonts w:ascii="Times New Roman" w:hAnsi="Times New Roman" w:cs="Times New Roman"/>
          <w:b/>
          <w:sz w:val="24"/>
          <w:szCs w:val="24"/>
          <w:u w:val="single"/>
        </w:rPr>
        <w:t xml:space="preserve">  </w:t>
      </w:r>
    </w:p>
    <w:p w:rsidR="005B6920"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From the findings and conclusions from the study carried on Furman’s activities</w:t>
      </w:r>
      <w:r w:rsidR="00390C58">
        <w:rPr>
          <w:rFonts w:ascii="Times New Roman" w:hAnsi="Times New Roman" w:cs="Times New Roman"/>
          <w:sz w:val="24"/>
          <w:szCs w:val="24"/>
        </w:rPr>
        <w:t xml:space="preserve">, the court reasoned that there is enough evidence that she was guilty of the unauthorized practice of law. Nonetheless, she admitted herself that she was unable to tailor her "do-it-yourself divorce kit" business to align with the requirements of the Brumbaugh guidelines. In this regard, she acted outside the realms the court defined to regulate the actions of non-lawyers. Therefore, the court rendered the services she was offering unlawful. For instance, she did not </w:t>
      </w:r>
      <w:r w:rsidR="00893870">
        <w:rPr>
          <w:rFonts w:ascii="Times New Roman" w:hAnsi="Times New Roman" w:cs="Times New Roman"/>
          <w:sz w:val="24"/>
          <w:szCs w:val="24"/>
        </w:rPr>
        <w:t>present concrete proof that the customers that came to her did so out of several reasons. She purported that they were unfamiliar with technical legal terms that were used in marriage disposition proceedings. Also</w:t>
      </w:r>
      <w:r w:rsidR="00BB182D">
        <w:rPr>
          <w:rFonts w:ascii="Times New Roman" w:hAnsi="Times New Roman" w:cs="Times New Roman"/>
          <w:sz w:val="24"/>
          <w:szCs w:val="24"/>
        </w:rPr>
        <w:t xml:space="preserve">, she </w:t>
      </w:r>
      <w:r w:rsidR="00C26196">
        <w:rPr>
          <w:rFonts w:ascii="Times New Roman" w:hAnsi="Times New Roman" w:cs="Times New Roman"/>
          <w:sz w:val="24"/>
          <w:szCs w:val="24"/>
        </w:rPr>
        <w:t xml:space="preserve">simulated court proceedings to obtain dissolutions in marriage using a systematic procedure that she admits that did not comply </w:t>
      </w:r>
      <w:r w:rsidR="008D1D89">
        <w:rPr>
          <w:rFonts w:ascii="Times New Roman" w:hAnsi="Times New Roman" w:cs="Times New Roman"/>
          <w:sz w:val="24"/>
          <w:szCs w:val="24"/>
        </w:rPr>
        <w:t xml:space="preserve">with </w:t>
      </w:r>
      <w:r w:rsidR="00C26196">
        <w:rPr>
          <w:rFonts w:ascii="Times New Roman" w:hAnsi="Times New Roman" w:cs="Times New Roman"/>
          <w:sz w:val="24"/>
          <w:szCs w:val="24"/>
        </w:rPr>
        <w:t>the guidelines enshrined in Florida Bar v. Brumbaugh.</w:t>
      </w:r>
    </w:p>
    <w:p w:rsidR="00C26196" w:rsidRPr="005B6920" w:rsidRDefault="002F7D93" w:rsidP="00EC0466">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this regard, by virtue of the activities she carried out to help her clients to obtain marriage dispositions made her guilty of the unauthorized practice of law. </w:t>
      </w:r>
    </w:p>
    <w:p w:rsidR="00D80EBD" w:rsidRPr="00D80EBD" w:rsidRDefault="00D80EBD" w:rsidP="00EC0466">
      <w:pPr>
        <w:spacing w:line="480" w:lineRule="auto"/>
        <w:rPr>
          <w:rFonts w:ascii="Times New Roman" w:hAnsi="Times New Roman" w:cs="Times New Roman"/>
          <w:sz w:val="24"/>
          <w:szCs w:val="24"/>
        </w:rPr>
      </w:pPr>
    </w:p>
    <w:sectPr w:rsidR="00D80EBD" w:rsidRPr="00D80EBD" w:rsidSect="004169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519" w:rsidRDefault="003B2519">
      <w:pPr>
        <w:spacing w:after="0" w:line="240" w:lineRule="auto"/>
      </w:pPr>
      <w:r>
        <w:separator/>
      </w:r>
    </w:p>
  </w:endnote>
  <w:endnote w:type="continuationSeparator" w:id="0">
    <w:p w:rsidR="003B2519" w:rsidRDefault="003B2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519" w:rsidRDefault="003B2519">
      <w:pPr>
        <w:spacing w:after="0" w:line="240" w:lineRule="auto"/>
      </w:pPr>
      <w:r>
        <w:separator/>
      </w:r>
    </w:p>
  </w:footnote>
  <w:footnote w:type="continuationSeparator" w:id="0">
    <w:p w:rsidR="003B2519" w:rsidRDefault="003B2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07" w:rsidRPr="00416907" w:rsidRDefault="002F7D93" w:rsidP="00416907">
    <w:pPr>
      <w:pStyle w:val="Header"/>
      <w:spacing w:line="480" w:lineRule="auto"/>
      <w:rPr>
        <w:rFonts w:ascii="Times New Roman" w:hAnsi="Times New Roman" w:cs="Times New Roman"/>
        <w:sz w:val="24"/>
        <w:szCs w:val="24"/>
      </w:rPr>
    </w:pPr>
    <w:r w:rsidRPr="00416907">
      <w:rPr>
        <w:rFonts w:ascii="Times New Roman" w:hAnsi="Times New Roman" w:cs="Times New Roman"/>
        <w:sz w:val="24"/>
        <w:szCs w:val="24"/>
      </w:rPr>
      <w:t>LEGAL ISSUES</w:t>
    </w:r>
    <w:r w:rsidR="0099456E">
      <w:rPr>
        <w:rFonts w:ascii="Times New Roman" w:hAnsi="Times New Roman" w:cs="Times New Roman"/>
        <w:sz w:val="24"/>
        <w:szCs w:val="24"/>
      </w:rPr>
      <w:t xml:space="preserve"> BRIEFING CASES</w:t>
    </w:r>
    <w:r>
      <w:rPr>
        <w:rFonts w:ascii="Times New Roman" w:hAnsi="Times New Roman" w:cs="Times New Roman"/>
        <w:sz w:val="24"/>
        <w:szCs w:val="24"/>
      </w:rPr>
      <w:tab/>
    </w:r>
    <w:r>
      <w:rPr>
        <w:rFonts w:ascii="Times New Roman" w:hAnsi="Times New Roman" w:cs="Times New Roman"/>
        <w:sz w:val="24"/>
        <w:szCs w:val="24"/>
      </w:rPr>
      <w:tab/>
    </w:r>
    <w:r w:rsidRPr="00416907">
      <w:rPr>
        <w:rFonts w:ascii="Times New Roman" w:hAnsi="Times New Roman" w:cs="Times New Roman"/>
        <w:sz w:val="24"/>
        <w:szCs w:val="24"/>
      </w:rPr>
      <w:t xml:space="preserve"> </w:t>
    </w:r>
    <w:sdt>
      <w:sdtPr>
        <w:rPr>
          <w:rFonts w:ascii="Times New Roman" w:hAnsi="Times New Roman" w:cs="Times New Roman"/>
          <w:sz w:val="24"/>
          <w:szCs w:val="24"/>
        </w:rPr>
        <w:id w:val="808515292"/>
        <w:docPartObj>
          <w:docPartGallery w:val="Page Numbers (Top of Page)"/>
          <w:docPartUnique/>
        </w:docPartObj>
      </w:sdtPr>
      <w:sdtEndPr>
        <w:rPr>
          <w:noProof/>
        </w:rPr>
      </w:sdtEndPr>
      <w:sdtContent>
        <w:r w:rsidRPr="00416907">
          <w:rPr>
            <w:rFonts w:ascii="Times New Roman" w:hAnsi="Times New Roman" w:cs="Times New Roman"/>
            <w:sz w:val="24"/>
            <w:szCs w:val="24"/>
          </w:rPr>
          <w:fldChar w:fldCharType="begin"/>
        </w:r>
        <w:r w:rsidRPr="00416907">
          <w:rPr>
            <w:rFonts w:ascii="Times New Roman" w:hAnsi="Times New Roman" w:cs="Times New Roman"/>
            <w:sz w:val="24"/>
            <w:szCs w:val="24"/>
          </w:rPr>
          <w:instrText xml:space="preserve"> PAGE   \* MERGEFORMAT </w:instrText>
        </w:r>
        <w:r w:rsidRPr="00416907">
          <w:rPr>
            <w:rFonts w:ascii="Times New Roman" w:hAnsi="Times New Roman" w:cs="Times New Roman"/>
            <w:sz w:val="24"/>
            <w:szCs w:val="24"/>
          </w:rPr>
          <w:fldChar w:fldCharType="separate"/>
        </w:r>
        <w:r w:rsidR="007422F6">
          <w:rPr>
            <w:rFonts w:ascii="Times New Roman" w:hAnsi="Times New Roman" w:cs="Times New Roman"/>
            <w:noProof/>
            <w:sz w:val="24"/>
            <w:szCs w:val="24"/>
          </w:rPr>
          <w:t>7</w:t>
        </w:r>
        <w:r w:rsidRPr="00416907">
          <w:rPr>
            <w:rFonts w:ascii="Times New Roman" w:hAnsi="Times New Roman" w:cs="Times New Roman"/>
            <w:noProof/>
            <w:sz w:val="24"/>
            <w:szCs w:val="24"/>
          </w:rPr>
          <w:fldChar w:fldCharType="end"/>
        </w:r>
      </w:sdtContent>
    </w:sdt>
  </w:p>
  <w:p w:rsidR="00416907" w:rsidRDefault="004169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07" w:rsidRPr="00416907" w:rsidRDefault="002F7D93" w:rsidP="00416907">
    <w:pPr>
      <w:pStyle w:val="Header"/>
      <w:spacing w:line="480" w:lineRule="auto"/>
      <w:rPr>
        <w:rFonts w:ascii="Times New Roman" w:hAnsi="Times New Roman" w:cs="Times New Roman"/>
        <w:sz w:val="24"/>
        <w:szCs w:val="24"/>
      </w:rPr>
    </w:pPr>
    <w:r w:rsidRPr="00416907">
      <w:rPr>
        <w:rFonts w:ascii="Times New Roman" w:hAnsi="Times New Roman" w:cs="Times New Roman"/>
        <w:sz w:val="24"/>
        <w:szCs w:val="24"/>
      </w:rPr>
      <w:t>Running head: LEGAL ISSUES</w:t>
    </w:r>
    <w:r w:rsidR="0099456E">
      <w:rPr>
        <w:rFonts w:ascii="Times New Roman" w:hAnsi="Times New Roman" w:cs="Times New Roman"/>
        <w:sz w:val="24"/>
        <w:szCs w:val="24"/>
      </w:rPr>
      <w:t xml:space="preserve"> BRIEFING CASES</w:t>
    </w:r>
    <w:r w:rsidR="005266ED">
      <w:rPr>
        <w:rFonts w:ascii="Times New Roman" w:hAnsi="Times New Roman" w:cs="Times New Roman"/>
        <w:sz w:val="24"/>
        <w:szCs w:val="24"/>
      </w:rPr>
      <w:tab/>
    </w:r>
    <w:r w:rsidR="005266ED" w:rsidRPr="005266ED">
      <w:rPr>
        <w:rFonts w:ascii="Times New Roman" w:hAnsi="Times New Roman" w:cs="Times New Roman"/>
        <w:sz w:val="24"/>
        <w:szCs w:val="24"/>
      </w:rPr>
      <w:fldChar w:fldCharType="begin"/>
    </w:r>
    <w:r w:rsidR="005266ED" w:rsidRPr="005266ED">
      <w:rPr>
        <w:rFonts w:ascii="Times New Roman" w:hAnsi="Times New Roman" w:cs="Times New Roman"/>
        <w:sz w:val="24"/>
        <w:szCs w:val="24"/>
      </w:rPr>
      <w:instrText xml:space="preserve"> PAGE   \* MERGEFORMAT </w:instrText>
    </w:r>
    <w:r w:rsidR="005266ED" w:rsidRPr="005266ED">
      <w:rPr>
        <w:rFonts w:ascii="Times New Roman" w:hAnsi="Times New Roman" w:cs="Times New Roman"/>
        <w:sz w:val="24"/>
        <w:szCs w:val="24"/>
      </w:rPr>
      <w:fldChar w:fldCharType="separate"/>
    </w:r>
    <w:r w:rsidR="007422F6">
      <w:rPr>
        <w:rFonts w:ascii="Times New Roman" w:hAnsi="Times New Roman" w:cs="Times New Roman"/>
        <w:noProof/>
        <w:sz w:val="24"/>
        <w:szCs w:val="24"/>
      </w:rPr>
      <w:t>1</w:t>
    </w:r>
    <w:r w:rsidR="005266ED" w:rsidRPr="005266ED">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6907">
      <w:rPr>
        <w:rFonts w:ascii="Times New Roman" w:hAnsi="Times New Roman" w:cs="Times New Roman"/>
        <w:sz w:val="24"/>
        <w:szCs w:val="24"/>
      </w:rPr>
      <w:t xml:space="preserve"> </w:t>
    </w:r>
    <w:sdt>
      <w:sdtPr>
        <w:rPr>
          <w:rFonts w:ascii="Times New Roman" w:hAnsi="Times New Roman" w:cs="Times New Roman"/>
          <w:sz w:val="24"/>
          <w:szCs w:val="24"/>
        </w:rPr>
        <w:id w:val="-1312475586"/>
        <w:docPartObj>
          <w:docPartGallery w:val="Page Numbers (Top of Page)"/>
          <w:docPartUnique/>
        </w:docPartObj>
      </w:sdtPr>
      <w:sdtEndPr>
        <w:rPr>
          <w:noProof/>
        </w:rPr>
      </w:sdtEndPr>
      <w:sdtContent>
        <w:r w:rsidRPr="00416907">
          <w:rPr>
            <w:rFonts w:ascii="Times New Roman" w:hAnsi="Times New Roman" w:cs="Times New Roman"/>
            <w:sz w:val="24"/>
            <w:szCs w:val="24"/>
          </w:rPr>
          <w:fldChar w:fldCharType="begin"/>
        </w:r>
        <w:r w:rsidRPr="00416907">
          <w:rPr>
            <w:rFonts w:ascii="Times New Roman" w:hAnsi="Times New Roman" w:cs="Times New Roman"/>
            <w:sz w:val="24"/>
            <w:szCs w:val="24"/>
          </w:rPr>
          <w:instrText xml:space="preserve"> PAGE   \* MERGEFORMAT </w:instrText>
        </w:r>
        <w:r w:rsidRPr="00416907">
          <w:rPr>
            <w:rFonts w:ascii="Times New Roman" w:hAnsi="Times New Roman" w:cs="Times New Roman"/>
            <w:sz w:val="24"/>
            <w:szCs w:val="24"/>
          </w:rPr>
          <w:fldChar w:fldCharType="separate"/>
        </w:r>
        <w:r w:rsidR="007422F6">
          <w:rPr>
            <w:rFonts w:ascii="Times New Roman" w:hAnsi="Times New Roman" w:cs="Times New Roman"/>
            <w:noProof/>
            <w:sz w:val="24"/>
            <w:szCs w:val="24"/>
          </w:rPr>
          <w:t>1</w:t>
        </w:r>
        <w:r w:rsidRPr="0041690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907"/>
    <w:rsid w:val="000105A9"/>
    <w:rsid w:val="00064968"/>
    <w:rsid w:val="000A70BC"/>
    <w:rsid w:val="001406A6"/>
    <w:rsid w:val="001B7CA5"/>
    <w:rsid w:val="00207C4C"/>
    <w:rsid w:val="002378A3"/>
    <w:rsid w:val="002532E0"/>
    <w:rsid w:val="002749D8"/>
    <w:rsid w:val="00283DA4"/>
    <w:rsid w:val="002F7D93"/>
    <w:rsid w:val="0035670D"/>
    <w:rsid w:val="00390C58"/>
    <w:rsid w:val="00394444"/>
    <w:rsid w:val="003B2519"/>
    <w:rsid w:val="003F57D0"/>
    <w:rsid w:val="00405302"/>
    <w:rsid w:val="00416907"/>
    <w:rsid w:val="0043321F"/>
    <w:rsid w:val="004624A6"/>
    <w:rsid w:val="00490FF8"/>
    <w:rsid w:val="004B6A75"/>
    <w:rsid w:val="004C6852"/>
    <w:rsid w:val="004F3402"/>
    <w:rsid w:val="004F5DF2"/>
    <w:rsid w:val="005266ED"/>
    <w:rsid w:val="005B10BB"/>
    <w:rsid w:val="005B6920"/>
    <w:rsid w:val="00646E5F"/>
    <w:rsid w:val="0068469A"/>
    <w:rsid w:val="00686FE2"/>
    <w:rsid w:val="00722932"/>
    <w:rsid w:val="007422F6"/>
    <w:rsid w:val="00744A6A"/>
    <w:rsid w:val="00785CA5"/>
    <w:rsid w:val="007A578A"/>
    <w:rsid w:val="007B2B7E"/>
    <w:rsid w:val="00826E0E"/>
    <w:rsid w:val="00881436"/>
    <w:rsid w:val="00893870"/>
    <w:rsid w:val="008A3541"/>
    <w:rsid w:val="008D1D89"/>
    <w:rsid w:val="008D2ED8"/>
    <w:rsid w:val="00923BEB"/>
    <w:rsid w:val="009772D3"/>
    <w:rsid w:val="0099456E"/>
    <w:rsid w:val="00A136B7"/>
    <w:rsid w:val="00A6469D"/>
    <w:rsid w:val="00A719A9"/>
    <w:rsid w:val="00AC32AF"/>
    <w:rsid w:val="00B10176"/>
    <w:rsid w:val="00B15687"/>
    <w:rsid w:val="00B614D4"/>
    <w:rsid w:val="00B7332C"/>
    <w:rsid w:val="00B9641D"/>
    <w:rsid w:val="00BB182D"/>
    <w:rsid w:val="00BD25C8"/>
    <w:rsid w:val="00BF3F37"/>
    <w:rsid w:val="00C26196"/>
    <w:rsid w:val="00C97595"/>
    <w:rsid w:val="00D063BE"/>
    <w:rsid w:val="00D47685"/>
    <w:rsid w:val="00D80EBD"/>
    <w:rsid w:val="00DF4C51"/>
    <w:rsid w:val="00E14FBB"/>
    <w:rsid w:val="00E16408"/>
    <w:rsid w:val="00E21A2A"/>
    <w:rsid w:val="00E70FE1"/>
    <w:rsid w:val="00E8209D"/>
    <w:rsid w:val="00E847CA"/>
    <w:rsid w:val="00EC0466"/>
    <w:rsid w:val="00FC57DF"/>
    <w:rsid w:val="00FE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1FFA"/>
  <w15:docId w15:val="{FF64E53F-FC36-4143-A4FB-59C3F3F5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907"/>
  </w:style>
  <w:style w:type="paragraph" w:styleId="Footer">
    <w:name w:val="footer"/>
    <w:basedOn w:val="Normal"/>
    <w:link w:val="FooterChar"/>
    <w:uiPriority w:val="99"/>
    <w:unhideWhenUsed/>
    <w:rsid w:val="00416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2019-02-09T08:49:00Z</dcterms:created>
  <dcterms:modified xsi:type="dcterms:W3CDTF">2019-02-09T08:49:00Z</dcterms:modified>
</cp:coreProperties>
</file>